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2A9A" w14:textId="77777777" w:rsidR="0084667A" w:rsidRDefault="0084667A">
      <w:pPr>
        <w:pStyle w:val="Textoindependiente"/>
        <w:rPr>
          <w:rFonts w:ascii="Times New Roman"/>
          <w:b w:val="0"/>
          <w:sz w:val="19"/>
        </w:rPr>
      </w:pPr>
    </w:p>
    <w:p w14:paraId="3C5E2359" w14:textId="19771B86" w:rsidR="0084667A" w:rsidRDefault="00214E68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7EF779" wp14:editId="67E8C854">
            <wp:simplePos x="0" y="0"/>
            <wp:positionH relativeFrom="page">
              <wp:posOffset>735330</wp:posOffset>
            </wp:positionH>
            <wp:positionV relativeFrom="paragraph">
              <wp:posOffset>-127298</wp:posOffset>
            </wp:positionV>
            <wp:extent cx="2047494" cy="1603703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494" cy="1603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85A2397" wp14:editId="65145954">
            <wp:simplePos x="0" y="0"/>
            <wp:positionH relativeFrom="page">
              <wp:posOffset>5002529</wp:posOffset>
            </wp:positionH>
            <wp:positionV relativeFrom="paragraph">
              <wp:posOffset>-127298</wp:posOffset>
            </wp:positionV>
            <wp:extent cx="1980437" cy="160370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437" cy="1603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808" behindDoc="1" locked="0" layoutInCell="1" allowOverlap="1" wp14:anchorId="58B3E6EC" wp14:editId="08AECBCC">
            <wp:simplePos x="0" y="0"/>
            <wp:positionH relativeFrom="page">
              <wp:posOffset>3015742</wp:posOffset>
            </wp:positionH>
            <wp:positionV relativeFrom="paragraph">
              <wp:posOffset>176422</wp:posOffset>
            </wp:positionV>
            <wp:extent cx="1519100" cy="4197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100" cy="41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Letters</w:t>
      </w:r>
      <w:r w:rsidR="00120C77">
        <w:rPr>
          <w:color w:val="0000FF"/>
        </w:rPr>
        <w:t xml:space="preserve"> 143</w:t>
      </w:r>
    </w:p>
    <w:p w14:paraId="064265AC" w14:textId="77777777" w:rsidR="0084667A" w:rsidRDefault="00214E68">
      <w:pPr>
        <w:pStyle w:val="Textoindependiente"/>
        <w:spacing w:before="9"/>
        <w:rPr>
          <w:rFonts w:ascii="Trebuchet MS"/>
          <w:b w:val="0"/>
          <w:sz w:val="19"/>
        </w:rPr>
      </w:pPr>
      <w:r>
        <w:rPr>
          <w:noProof/>
        </w:rPr>
        <w:drawing>
          <wp:anchor distT="0" distB="0" distL="0" distR="0" simplePos="0" relativeHeight="487544832" behindDoc="0" locked="0" layoutInCell="1" allowOverlap="1" wp14:anchorId="34CCFF57" wp14:editId="376C8938">
            <wp:simplePos x="0" y="0"/>
            <wp:positionH relativeFrom="page">
              <wp:posOffset>3084576</wp:posOffset>
            </wp:positionH>
            <wp:positionV relativeFrom="paragraph">
              <wp:posOffset>170833</wp:posOffset>
            </wp:positionV>
            <wp:extent cx="1817347" cy="79343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47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32CE9" w14:textId="77777777" w:rsidR="0084667A" w:rsidRDefault="0084667A">
      <w:pPr>
        <w:pStyle w:val="Textoindependiente"/>
        <w:spacing w:before="7"/>
        <w:rPr>
          <w:rFonts w:ascii="Trebuchet MS"/>
          <w:b w:val="0"/>
          <w:sz w:val="9"/>
        </w:rPr>
      </w:pPr>
    </w:p>
    <w:p w14:paraId="781EBC0C" w14:textId="6A20DD08" w:rsidR="0084667A" w:rsidRDefault="00214E68">
      <w:pPr>
        <w:pStyle w:val="Textoindependiente"/>
        <w:spacing w:before="98"/>
        <w:ind w:left="113" w:right="109"/>
        <w:jc w:val="both"/>
      </w:pPr>
      <w:r>
        <w:rPr>
          <w:color w:val="008000"/>
          <w:w w:val="115"/>
        </w:rPr>
        <w:t>PAX... (...) what you tell me about Emotional Intelligence is true, it is a verifica</w:t>
      </w:r>
      <w:r>
        <w:rPr>
          <w:color w:val="008000"/>
          <w:w w:val="115"/>
        </w:rPr>
        <w:t>tion that emotions are based on instincts and are below mental activities, and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that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these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are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inferior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2"/>
          <w:w w:val="115"/>
        </w:rPr>
        <w:t xml:space="preserve"> </w:t>
      </w:r>
      <w:r>
        <w:rPr>
          <w:color w:val="008000"/>
          <w:w w:val="115"/>
        </w:rPr>
        <w:t>power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spirit,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Self,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which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manifests</w:t>
      </w:r>
      <w:r>
        <w:rPr>
          <w:color w:val="008000"/>
          <w:spacing w:val="-59"/>
          <w:w w:val="115"/>
        </w:rPr>
        <w:t xml:space="preserve"> </w:t>
      </w:r>
      <w:r>
        <w:rPr>
          <w:color w:val="008000"/>
          <w:w w:val="115"/>
        </w:rPr>
        <w:t>itself by centripetal and centrifugal spiral expansion and contraction. This is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what</w:t>
      </w:r>
      <w:r>
        <w:rPr>
          <w:color w:val="008000"/>
          <w:spacing w:val="15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inferred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from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First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Seal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Lion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5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Tribe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Judah.</w:t>
      </w:r>
    </w:p>
    <w:p w14:paraId="4E210468" w14:textId="77777777" w:rsidR="0084667A" w:rsidRDefault="0084667A">
      <w:pPr>
        <w:pStyle w:val="Textoindependiente"/>
        <w:spacing w:before="9"/>
        <w:rPr>
          <w:sz w:val="23"/>
        </w:rPr>
      </w:pPr>
    </w:p>
    <w:p w14:paraId="63B2E0EC" w14:textId="77777777" w:rsidR="0084667A" w:rsidRDefault="00214E68">
      <w:pPr>
        <w:pStyle w:val="Textoindependiente"/>
        <w:ind w:left="113" w:right="111"/>
        <w:jc w:val="both"/>
      </w:pPr>
      <w:r>
        <w:rPr>
          <w:color w:val="008000"/>
          <w:w w:val="115"/>
        </w:rPr>
        <w:t>One must reflect on the Second Seal to realize the extent to which a human will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can successfully act in reality within the Intelligent Order that maintains 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Oneness of Diversity. These Seals are the Heritage of the MVHM. Thank you for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your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input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improve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my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Notes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941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-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950.</w:t>
      </w:r>
    </w:p>
    <w:p w14:paraId="606BA116" w14:textId="77777777" w:rsidR="0084667A" w:rsidRDefault="0084667A">
      <w:pPr>
        <w:pStyle w:val="Textoindependiente"/>
      </w:pPr>
    </w:p>
    <w:p w14:paraId="1C0FC3A7" w14:textId="010F92A4" w:rsidR="0084667A" w:rsidRDefault="00214E68">
      <w:pPr>
        <w:pStyle w:val="Textoindependiente"/>
        <w:ind w:left="113" w:right="107"/>
        <w:jc w:val="both"/>
      </w:pPr>
      <w:r>
        <w:rPr>
          <w:color w:val="008000"/>
          <w:w w:val="115"/>
        </w:rPr>
        <w:t>PAX... HR. We must study this new turn of events without giving hasty answers.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Among the best we have achieved - as seen last July - our greatest success has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been the consolidation of the Most Honorable Collegial Body. It is only this Ho</w:t>
      </w:r>
      <w:r>
        <w:rPr>
          <w:color w:val="008000"/>
          <w:w w:val="115"/>
        </w:rPr>
        <w:t>norable Body that</w:t>
      </w:r>
      <w:r>
        <w:rPr>
          <w:color w:val="008000"/>
          <w:w w:val="115"/>
        </w:rPr>
        <w:t xml:space="preserve"> has the authority to update the RedGFU Line if it deems it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convenient. On the other hand, we must take advantage of any positive contri</w:t>
      </w:r>
      <w:r>
        <w:rPr>
          <w:color w:val="008000"/>
          <w:w w:val="115"/>
        </w:rPr>
        <w:t>bution to enrich with living facts the Line of Initiation that the MSMA and 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MVHM pointed out to us for all Humanit</w:t>
      </w:r>
      <w:r>
        <w:rPr>
          <w:color w:val="008000"/>
          <w:w w:val="115"/>
        </w:rPr>
        <w:t>y, not only to consider the proposals of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groups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or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persons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who</w:t>
      </w:r>
      <w:r>
        <w:rPr>
          <w:color w:val="008000"/>
          <w:spacing w:val="3"/>
          <w:w w:val="115"/>
        </w:rPr>
        <w:t xml:space="preserve"> </w:t>
      </w:r>
      <w:r>
        <w:rPr>
          <w:color w:val="008000"/>
          <w:w w:val="115"/>
        </w:rPr>
        <w:t>show</w:t>
      </w:r>
      <w:r>
        <w:rPr>
          <w:color w:val="008000"/>
          <w:spacing w:val="2"/>
          <w:w w:val="115"/>
        </w:rPr>
        <w:t xml:space="preserve"> </w:t>
      </w:r>
      <w:r>
        <w:rPr>
          <w:color w:val="008000"/>
          <w:w w:val="115"/>
        </w:rPr>
        <w:t>desires</w:t>
      </w:r>
      <w:r>
        <w:rPr>
          <w:color w:val="008000"/>
          <w:spacing w:val="3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3"/>
          <w:w w:val="115"/>
        </w:rPr>
        <w:t xml:space="preserve"> </w:t>
      </w:r>
      <w:r>
        <w:rPr>
          <w:color w:val="008000"/>
          <w:w w:val="115"/>
        </w:rPr>
        <w:t>power</w:t>
      </w:r>
      <w:r>
        <w:rPr>
          <w:color w:val="008000"/>
          <w:spacing w:val="2"/>
          <w:w w:val="115"/>
        </w:rPr>
        <w:t xml:space="preserve"> </w:t>
      </w:r>
      <w:r>
        <w:rPr>
          <w:color w:val="008000"/>
          <w:w w:val="115"/>
        </w:rPr>
        <w:t>or</w:t>
      </w:r>
      <w:r>
        <w:rPr>
          <w:color w:val="008000"/>
          <w:spacing w:val="3"/>
          <w:w w:val="115"/>
        </w:rPr>
        <w:t xml:space="preserve"> </w:t>
      </w:r>
      <w:r>
        <w:rPr>
          <w:color w:val="008000"/>
          <w:w w:val="115"/>
        </w:rPr>
        <w:t>unethical</w:t>
      </w:r>
      <w:r>
        <w:rPr>
          <w:color w:val="008000"/>
          <w:spacing w:val="-1"/>
          <w:w w:val="115"/>
        </w:rPr>
        <w:t xml:space="preserve"> </w:t>
      </w:r>
      <w:r>
        <w:rPr>
          <w:color w:val="008000"/>
          <w:w w:val="115"/>
        </w:rPr>
        <w:t>protagonism.</w:t>
      </w:r>
    </w:p>
    <w:p w14:paraId="23D19E68" w14:textId="77777777" w:rsidR="0084667A" w:rsidRDefault="0084667A">
      <w:pPr>
        <w:pStyle w:val="Textoindependiente"/>
        <w:spacing w:before="7"/>
      </w:pPr>
    </w:p>
    <w:p w14:paraId="3BB6D339" w14:textId="03EB0365" w:rsidR="0084667A" w:rsidRDefault="00214E68">
      <w:pPr>
        <w:pStyle w:val="Textoindependiente"/>
        <w:ind w:left="113" w:right="107"/>
        <w:jc w:val="both"/>
      </w:pPr>
      <w:r>
        <w:rPr>
          <w:color w:val="008000"/>
          <w:w w:val="110"/>
        </w:rPr>
        <w:t>PAX... M.R. Brother, the term "Master" is very much used among Craftsmen and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Artists.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think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it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comes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from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Middle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Ages.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It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nothing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exceptional.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Maybe</w:t>
      </w:r>
      <w:r>
        <w:rPr>
          <w:color w:val="008000"/>
          <w:spacing w:val="-55"/>
          <w:w w:val="110"/>
        </w:rPr>
        <w:t xml:space="preserve"> </w:t>
      </w:r>
      <w:r>
        <w:rPr>
          <w:color w:val="008000"/>
          <w:w w:val="110"/>
        </w:rPr>
        <w:t>that is why it is used with a certain freedom. For my part, I agree to give it a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connotation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greater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dignity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among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Initiates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1"/>
          <w:w w:val="110"/>
        </w:rPr>
        <w:t xml:space="preserve"> </w:t>
      </w:r>
      <w:r w:rsidR="00120C77">
        <w:rPr>
          <w:color w:val="008000"/>
          <w:w w:val="110"/>
        </w:rPr>
        <w:t>know that</w:t>
      </w:r>
      <w:r>
        <w:rPr>
          <w:color w:val="008000"/>
          <w:w w:val="110"/>
        </w:rPr>
        <w:t xml:space="preserve">  it  will  not  be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easy, because sympathizers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often use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 xml:space="preserve">it as children use  it with </w:t>
      </w:r>
      <w:r>
        <w:rPr>
          <w:color w:val="008000"/>
          <w:w w:val="110"/>
        </w:rPr>
        <w:t xml:space="preserve"> their teachers.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True Masters don't care. According to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the VHM  the title should be given to one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who is recognized as Sat Arhat. The question that follows is how does one know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who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Sat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Arhat? The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answer is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obvious:</w:t>
      </w:r>
      <w:r>
        <w:rPr>
          <w:color w:val="008000"/>
          <w:spacing w:val="1"/>
          <w:w w:val="110"/>
        </w:rPr>
        <w:t xml:space="preserve"> </w:t>
      </w:r>
      <w:r w:rsidR="00120C77">
        <w:rPr>
          <w:color w:val="008000"/>
          <w:w w:val="110"/>
        </w:rPr>
        <w:t>by observing</w:t>
      </w:r>
      <w:r>
        <w:rPr>
          <w:color w:val="008000"/>
          <w:w w:val="110"/>
        </w:rPr>
        <w:t xml:space="preserve">  what a  Sat Arhat  says,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does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lives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positively,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negatively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or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equitavely,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without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incomprehensible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mysteries.</w:t>
      </w:r>
    </w:p>
    <w:p w14:paraId="6FD20A92" w14:textId="77777777" w:rsidR="0084667A" w:rsidRDefault="0084667A">
      <w:pPr>
        <w:pStyle w:val="Textoindependiente"/>
        <w:spacing w:before="2"/>
      </w:pPr>
    </w:p>
    <w:p w14:paraId="67EC6D36" w14:textId="77777777" w:rsidR="0084667A" w:rsidRDefault="00214E68">
      <w:pPr>
        <w:pStyle w:val="Textoindependiente"/>
        <w:ind w:left="113" w:right="111"/>
        <w:jc w:val="both"/>
      </w:pPr>
      <w:r>
        <w:rPr>
          <w:color w:val="008000"/>
          <w:w w:val="115"/>
        </w:rPr>
        <w:t>PAX...Q.H. The Natural Plan is to evolve. The MSMA came to point out the STYLE</w:t>
      </w:r>
      <w:r>
        <w:rPr>
          <w:color w:val="008000"/>
          <w:spacing w:val="-59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evolution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Aquarian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Age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with</w:t>
      </w:r>
      <w:r>
        <w:rPr>
          <w:color w:val="008000"/>
          <w:spacing w:val="-3"/>
          <w:w w:val="115"/>
        </w:rPr>
        <w:t xml:space="preserve"> </w:t>
      </w:r>
      <w:r>
        <w:rPr>
          <w:color w:val="008000"/>
          <w:w w:val="115"/>
        </w:rPr>
        <w:t>WISDOM.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Wisdom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Faith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Conscious-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ness united. Faith senses Truth and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Consciousness gradually experiences it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within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incalculable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facets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Truth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takes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on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Reality.</w:t>
      </w:r>
    </w:p>
    <w:p w14:paraId="07D3A293" w14:textId="33684DFD" w:rsidR="0084667A" w:rsidRDefault="00214E68">
      <w:pPr>
        <w:pStyle w:val="Textoindependiente"/>
        <w:spacing w:before="74"/>
        <w:ind w:left="113" w:right="107"/>
        <w:jc w:val="both"/>
      </w:pPr>
      <w:r>
        <w:rPr>
          <w:color w:val="008000"/>
          <w:w w:val="115"/>
        </w:rPr>
        <w:lastRenderedPageBreak/>
        <w:t>PAX...M.H.G. A Collegiate Body is an Agartha, a community that makes a great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splendor by bringing together a multitude of small consciousnesses, of small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lights, into one great consciousness, into one Great Light, which has greater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spacing w:val="-1"/>
          <w:w w:val="115"/>
        </w:rPr>
        <w:t>scope</w:t>
      </w:r>
      <w:r>
        <w:rPr>
          <w:color w:val="008000"/>
          <w:spacing w:val="-15"/>
          <w:w w:val="115"/>
        </w:rPr>
        <w:t xml:space="preserve"> </w:t>
      </w:r>
      <w:r>
        <w:rPr>
          <w:color w:val="008000"/>
          <w:spacing w:val="-1"/>
          <w:w w:val="115"/>
        </w:rPr>
        <w:t>than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spacing w:val="-1"/>
          <w:w w:val="115"/>
        </w:rPr>
        <w:t>a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spacing w:val="-1"/>
          <w:w w:val="115"/>
        </w:rPr>
        <w:t>single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spacing w:val="-1"/>
          <w:w w:val="115"/>
        </w:rPr>
        <w:t>isol</w:t>
      </w:r>
      <w:r>
        <w:rPr>
          <w:color w:val="008000"/>
          <w:spacing w:val="-1"/>
          <w:w w:val="115"/>
        </w:rPr>
        <w:t>ated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consciousness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has.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This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possible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because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4"/>
          <w:w w:val="115"/>
        </w:rPr>
        <w:t xml:space="preserve"> </w:t>
      </w:r>
      <w:r>
        <w:rPr>
          <w:color w:val="008000"/>
          <w:w w:val="115"/>
        </w:rPr>
        <w:t>mar</w:t>
      </w:r>
      <w:r>
        <w:rPr>
          <w:color w:val="008000"/>
          <w:w w:val="115"/>
        </w:rPr>
        <w:t>velous phenomenon takes place in Reality. I realize that to put it this way may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be almost offensive to those who believe that it is only a conclave of Masters of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the highest level meeting in a Sacro</w:t>
      </w:r>
      <w:r>
        <w:rPr>
          <w:color w:val="008000"/>
          <w:w w:val="115"/>
        </w:rPr>
        <w:t>teluric place inaccessible to the profane. I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do not deny that this is so, but following the Initiatic teaching that says that as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above so below, and that the slightest events above have repercussions below,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and vice versa, I have seen symbolic acts and practical acts that fulfill the pu</w:t>
      </w:r>
      <w:r w:rsidR="00120C77">
        <w:rPr>
          <w:color w:val="008000"/>
          <w:w w:val="115"/>
        </w:rPr>
        <w:t>r</w:t>
      </w:r>
      <w:r>
        <w:rPr>
          <w:color w:val="008000"/>
          <w:w w:val="115"/>
        </w:rPr>
        <w:t>pose of the Agartha Shanga, as, for example, and keeping the proportions, a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Collegiate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Body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w w:val="115"/>
        </w:rPr>
        <w:t>med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by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Initiates.</w:t>
      </w:r>
    </w:p>
    <w:p w14:paraId="5D108A16" w14:textId="77777777" w:rsidR="0084667A" w:rsidRDefault="0084667A">
      <w:pPr>
        <w:pStyle w:val="Textoindependiente"/>
        <w:spacing w:before="5"/>
      </w:pPr>
    </w:p>
    <w:p w14:paraId="5E8E6008" w14:textId="5BE4312A" w:rsidR="0084667A" w:rsidRDefault="00214E68">
      <w:pPr>
        <w:pStyle w:val="Textoindependiente"/>
        <w:ind w:left="113" w:right="107"/>
        <w:jc w:val="both"/>
      </w:pPr>
      <w:r>
        <w:rPr>
          <w:color w:val="008000"/>
          <w:w w:val="110"/>
        </w:rPr>
        <w:t>PAX...Don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(...)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oddly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enough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it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was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only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today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that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set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out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clean</w:t>
      </w:r>
      <w:r>
        <w:rPr>
          <w:color w:val="008000"/>
          <w:spacing w:val="45"/>
          <w:w w:val="110"/>
        </w:rPr>
        <w:t xml:space="preserve"> </w:t>
      </w:r>
      <w:r>
        <w:rPr>
          <w:color w:val="008000"/>
          <w:w w:val="110"/>
        </w:rPr>
        <w:t>up</w:t>
      </w:r>
      <w:r>
        <w:rPr>
          <w:color w:val="008000"/>
          <w:spacing w:val="46"/>
          <w:w w:val="110"/>
        </w:rPr>
        <w:t xml:space="preserve"> </w:t>
      </w:r>
      <w:r>
        <w:rPr>
          <w:color w:val="008000"/>
          <w:w w:val="110"/>
        </w:rPr>
        <w:t>my</w:t>
      </w:r>
      <w:r>
        <w:rPr>
          <w:color w:val="008000"/>
          <w:spacing w:val="39"/>
          <w:w w:val="110"/>
        </w:rPr>
        <w:t xml:space="preserve"> </w:t>
      </w:r>
      <w:r>
        <w:rPr>
          <w:color w:val="008000"/>
          <w:w w:val="110"/>
        </w:rPr>
        <w:t>P</w:t>
      </w:r>
      <w:r w:rsidR="00120C77">
        <w:rPr>
          <w:color w:val="008000"/>
          <w:w w:val="110"/>
        </w:rPr>
        <w:t>C t</w:t>
      </w:r>
      <w:r>
        <w:rPr>
          <w:color w:val="008000"/>
          <w:w w:val="110"/>
        </w:rPr>
        <w:t>hat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found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this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"black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pearl".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Well,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maybe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that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was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better.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41"/>
          <w:w w:val="110"/>
        </w:rPr>
        <w:t xml:space="preserve"> </w:t>
      </w:r>
      <w:r>
        <w:rPr>
          <w:color w:val="008000"/>
          <w:w w:val="110"/>
        </w:rPr>
        <w:t>don't</w:t>
      </w:r>
      <w:r>
        <w:rPr>
          <w:color w:val="008000"/>
          <w:spacing w:val="42"/>
          <w:w w:val="110"/>
        </w:rPr>
        <w:t xml:space="preserve"> </w:t>
      </w:r>
      <w:r>
        <w:rPr>
          <w:color w:val="008000"/>
          <w:w w:val="110"/>
        </w:rPr>
        <w:t>know</w:t>
      </w:r>
      <w:r>
        <w:rPr>
          <w:color w:val="008000"/>
          <w:spacing w:val="40"/>
          <w:w w:val="110"/>
        </w:rPr>
        <w:t xml:space="preserve"> </w:t>
      </w:r>
      <w:r>
        <w:rPr>
          <w:color w:val="008000"/>
          <w:w w:val="110"/>
        </w:rPr>
        <w:t>wha</w:t>
      </w:r>
      <w:r w:rsidR="00120C77">
        <w:rPr>
          <w:color w:val="008000"/>
          <w:w w:val="110"/>
        </w:rPr>
        <w:t>t t</w:t>
      </w:r>
      <w:r>
        <w:rPr>
          <w:color w:val="008000"/>
          <w:w w:val="110"/>
        </w:rPr>
        <w:t>his has to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do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with it Don  (...)  but I  am  sending you  a  copy. First of all, I thank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you for your chivalry in sending it to me so that I would know about it. On the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other hand, there is no error "that justifies another error" I don't want to make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judgments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or put qu</w:t>
      </w:r>
      <w:r>
        <w:rPr>
          <w:color w:val="008000"/>
          <w:w w:val="110"/>
        </w:rPr>
        <w:t>alifiers.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The case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old,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it is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more than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thirty years  old and</w:t>
      </w:r>
      <w:r>
        <w:rPr>
          <w:color w:val="008000"/>
          <w:spacing w:val="-57"/>
          <w:w w:val="110"/>
        </w:rPr>
        <w:t xml:space="preserve"> </w:t>
      </w:r>
      <w:r>
        <w:rPr>
          <w:color w:val="008000"/>
          <w:w w:val="110"/>
        </w:rPr>
        <w:t>has been repeated with people who are somehow related to the GFU. I first heard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about it when I arrived at Don's Institute (...) Then I heard about it two or three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times from Yoga students an</w:t>
      </w:r>
      <w:r>
        <w:rPr>
          <w:color w:val="008000"/>
          <w:w w:val="110"/>
        </w:rPr>
        <w:t>d diners in vegetarian restaurants. This is the first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time she alludes to me</w:t>
      </w:r>
      <w:r w:rsidR="00120C77">
        <w:rPr>
          <w:color w:val="008000"/>
          <w:w w:val="110"/>
        </w:rPr>
        <w:t xml:space="preserve"> </w:t>
      </w:r>
      <w:r>
        <w:rPr>
          <w:color w:val="008000"/>
          <w:w w:val="110"/>
        </w:rPr>
        <w:t>directly. I'm sorry, I really am, for</w:t>
      </w:r>
      <w:r w:rsidR="00120C77">
        <w:rPr>
          <w:color w:val="008000"/>
          <w:w w:val="110"/>
        </w:rPr>
        <w:t xml:space="preserve"> </w:t>
      </w:r>
      <w:r>
        <w:rPr>
          <w:color w:val="008000"/>
          <w:w w:val="110"/>
        </w:rPr>
        <w:t>her. That's all. If an</w:t>
      </w:r>
      <w:r>
        <w:rPr>
          <w:color w:val="008000"/>
          <w:w w:val="110"/>
        </w:rPr>
        <w:t>yone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would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like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more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information,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please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inquire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personally.</w:t>
      </w:r>
    </w:p>
    <w:p w14:paraId="1706FE48" w14:textId="77777777" w:rsidR="0084667A" w:rsidRDefault="0084667A">
      <w:pPr>
        <w:pStyle w:val="Textoindependiente"/>
        <w:spacing w:before="4"/>
      </w:pPr>
    </w:p>
    <w:p w14:paraId="0255CECD" w14:textId="77777777" w:rsidR="0084667A" w:rsidRDefault="00214E68">
      <w:pPr>
        <w:pStyle w:val="Textoindependiente"/>
        <w:ind w:left="113" w:right="112"/>
        <w:jc w:val="both"/>
      </w:pPr>
      <w:r>
        <w:rPr>
          <w:color w:val="008000"/>
          <w:w w:val="110"/>
        </w:rPr>
        <w:t>PAX...Thanks, Don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(...) next  time you want  to immortalize me  for a few minutes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let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me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know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 time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bring my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hairstylist  and  manicurist.  Sorry for  the joke,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>but some movie stars look better than me on video and it's not fair. Anyway, I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appreciate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it.</w:t>
      </w:r>
    </w:p>
    <w:p w14:paraId="30EB3C41" w14:textId="77777777" w:rsidR="0084667A" w:rsidRDefault="0084667A">
      <w:pPr>
        <w:pStyle w:val="Textoindependiente"/>
      </w:pPr>
    </w:p>
    <w:p w14:paraId="4B7362C8" w14:textId="7A2A4917" w:rsidR="0084667A" w:rsidRDefault="00214E68">
      <w:pPr>
        <w:pStyle w:val="Textoindependiente"/>
        <w:ind w:left="113" w:right="112"/>
        <w:jc w:val="both"/>
        <w:rPr>
          <w:color w:val="008000"/>
          <w:w w:val="110"/>
        </w:rPr>
      </w:pPr>
      <w:r>
        <w:rPr>
          <w:color w:val="008000"/>
          <w:w w:val="110"/>
        </w:rPr>
        <w:t>PAX...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I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have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not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noticed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that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we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do</w:t>
      </w:r>
      <w:r>
        <w:rPr>
          <w:color w:val="008000"/>
          <w:spacing w:val="30"/>
          <w:w w:val="110"/>
        </w:rPr>
        <w:t xml:space="preserve"> </w:t>
      </w:r>
      <w:r>
        <w:rPr>
          <w:color w:val="008000"/>
          <w:w w:val="110"/>
        </w:rPr>
        <w:t>special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events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for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women,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but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since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are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 xml:space="preserve">a woman you must have sensed something. For that  </w:t>
      </w:r>
      <w:r>
        <w:rPr>
          <w:rFonts w:ascii="Trebuchet MS"/>
          <w:i/>
          <w:color w:val="008000"/>
          <w:w w:val="110"/>
          <w:u w:val="single" w:color="008000"/>
        </w:rPr>
        <w:t xml:space="preserve">something </w:t>
      </w:r>
      <w:r>
        <w:rPr>
          <w:color w:val="008000"/>
          <w:w w:val="110"/>
        </w:rPr>
        <w:t>I beg your par</w:t>
      </w:r>
      <w:r>
        <w:rPr>
          <w:color w:val="008000"/>
          <w:w w:val="110"/>
        </w:rPr>
        <w:t>don. Perhaps it is because in the last four thousand years, from the beginning of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 xml:space="preserve">Aries to the end  of Pisces,  </w:t>
      </w:r>
      <w:r>
        <w:rPr>
          <w:color w:val="008000"/>
          <w:w w:val="110"/>
        </w:rPr>
        <w:t>women have been relegated to  a secondary  role and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we are trying to restore their equal participation, without losing their distinctive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character,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which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complementary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not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equal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28"/>
          <w:w w:val="110"/>
        </w:rPr>
        <w:t xml:space="preserve"> </w:t>
      </w:r>
      <w:r>
        <w:rPr>
          <w:color w:val="008000"/>
          <w:w w:val="110"/>
        </w:rPr>
        <w:t>that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27"/>
          <w:w w:val="110"/>
        </w:rPr>
        <w:t xml:space="preserve"> </w:t>
      </w:r>
      <w:r>
        <w:rPr>
          <w:color w:val="008000"/>
          <w:w w:val="110"/>
        </w:rPr>
        <w:t>men.</w:t>
      </w:r>
    </w:p>
    <w:p w14:paraId="10F2A3EF" w14:textId="29A832F6" w:rsidR="004526B9" w:rsidRDefault="004526B9">
      <w:pPr>
        <w:pStyle w:val="Textoindependiente"/>
        <w:ind w:left="113" w:right="112"/>
        <w:jc w:val="both"/>
      </w:pPr>
    </w:p>
    <w:p w14:paraId="0D5E7EE5" w14:textId="77777777" w:rsidR="004526B9" w:rsidRDefault="004526B9" w:rsidP="004526B9">
      <w:pPr>
        <w:spacing w:after="300" w:line="300" w:lineRule="atLeast"/>
        <w:rPr>
          <w:b/>
          <w:bCs/>
          <w:sz w:val="24"/>
          <w:szCs w:val="24"/>
        </w:rPr>
      </w:pPr>
    </w:p>
    <w:p w14:paraId="7D36CF9C" w14:textId="1A69585F" w:rsidR="004526B9" w:rsidRPr="004526B9" w:rsidRDefault="004526B9" w:rsidP="004526B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108138603"/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t>Sat Arhat José Marcelli</w:t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br/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t>January</w:t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t xml:space="preserve"> </w:t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t>5</w:t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t>, 2008</w:t>
      </w:r>
      <w:r w:rsidRPr="004526B9">
        <w:rPr>
          <w:rFonts w:asciiTheme="minorHAnsi" w:hAnsiTheme="minorHAnsi" w:cstheme="minorHAnsi"/>
          <w:b/>
          <w:bCs/>
          <w:color w:val="C00000"/>
          <w:sz w:val="36"/>
          <w:szCs w:val="36"/>
        </w:rPr>
        <w:br/>
      </w:r>
      <w:hyperlink r:id="rId10" w:history="1">
        <w:r w:rsidRPr="004526B9">
          <w:rPr>
            <w:rStyle w:val="Hipervnculo"/>
            <w:rFonts w:asciiTheme="minorHAnsi" w:hAnsiTheme="minorHAnsi" w:cstheme="minorHAnsi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34B7E1CF" w14:textId="77777777" w:rsidR="004526B9" w:rsidRDefault="004526B9">
      <w:pPr>
        <w:pStyle w:val="Textoindependiente"/>
        <w:ind w:left="113" w:right="112"/>
        <w:jc w:val="both"/>
      </w:pPr>
    </w:p>
    <w:p w14:paraId="24A162FB" w14:textId="118E36A4" w:rsidR="0084667A" w:rsidRDefault="0084667A">
      <w:pPr>
        <w:pStyle w:val="Textoindependiente"/>
        <w:spacing w:before="2"/>
        <w:rPr>
          <w:sz w:val="15"/>
        </w:rPr>
      </w:pPr>
    </w:p>
    <w:p w14:paraId="17D2DFBD" w14:textId="570F62E9" w:rsidR="004526B9" w:rsidRDefault="004526B9">
      <w:pPr>
        <w:pStyle w:val="Textoindependiente"/>
        <w:spacing w:before="2"/>
        <w:rPr>
          <w:sz w:val="15"/>
        </w:rPr>
      </w:pPr>
    </w:p>
    <w:p w14:paraId="0452642F" w14:textId="67DA02E3" w:rsidR="004526B9" w:rsidRDefault="004526B9">
      <w:pPr>
        <w:pStyle w:val="Textoindependiente"/>
        <w:spacing w:before="2"/>
        <w:rPr>
          <w:sz w:val="15"/>
        </w:rPr>
      </w:pPr>
    </w:p>
    <w:p w14:paraId="116A9B94" w14:textId="77777777" w:rsidR="004526B9" w:rsidRPr="004526B9" w:rsidRDefault="004526B9" w:rsidP="004526B9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41DF2AFF" w14:textId="77777777" w:rsidR="004526B9" w:rsidRPr="004526B9" w:rsidRDefault="004526B9" w:rsidP="004526B9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9815540" w14:textId="7AA72D75" w:rsidR="004526B9" w:rsidRPr="004526B9" w:rsidRDefault="004526B9" w:rsidP="004526B9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4526B9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11" w:history="1">
        <w:r w:rsidRPr="004526B9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www.josemarcellinoli.com/2008/pdf/2008_cartas_1</w:t>
        </w:r>
        <w:r w:rsidRPr="00461B6E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4</w:t>
        </w:r>
        <w:r w:rsidRPr="004526B9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3.pdf</w:t>
        </w:r>
      </w:hyperlink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12" w:history="1">
        <w:r w:rsidRPr="004526B9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4526B9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  <w:t>Version: 08072022-01</w:t>
      </w:r>
      <w:r w:rsidRPr="004526B9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70D745F9" w14:textId="77777777" w:rsidR="004526B9" w:rsidRDefault="004526B9">
      <w:pPr>
        <w:pStyle w:val="Textoindependiente"/>
        <w:spacing w:before="2"/>
        <w:rPr>
          <w:sz w:val="15"/>
        </w:rPr>
      </w:pPr>
    </w:p>
    <w:sectPr w:rsidR="004526B9" w:rsidSect="00120C77">
      <w:footerReference w:type="default" r:id="rId13"/>
      <w:pgSz w:w="12240" w:h="15840"/>
      <w:pgMar w:top="1134" w:right="1020" w:bottom="1260" w:left="10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C058" w14:textId="77777777" w:rsidR="00214E68" w:rsidRDefault="00214E68">
      <w:r>
        <w:separator/>
      </w:r>
    </w:p>
  </w:endnote>
  <w:endnote w:type="continuationSeparator" w:id="0">
    <w:p w14:paraId="03E589EA" w14:textId="77777777" w:rsidR="00214E68" w:rsidRDefault="002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Trebuchet MS">
    <w:panose1 w:val="020B0603020202020204"/>
    <w:charset w:val="01"/>
    <w:family w:val="swiss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42FB" w14:textId="19B22252" w:rsidR="0084667A" w:rsidRDefault="0084667A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59F7" w14:textId="77777777" w:rsidR="00214E68" w:rsidRDefault="00214E68">
      <w:r>
        <w:separator/>
      </w:r>
    </w:p>
  </w:footnote>
  <w:footnote w:type="continuationSeparator" w:id="0">
    <w:p w14:paraId="5643E1E2" w14:textId="77777777" w:rsidR="00214E68" w:rsidRDefault="0021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67A"/>
    <w:rsid w:val="00120C77"/>
    <w:rsid w:val="00214E68"/>
    <w:rsid w:val="004526B9"/>
    <w:rsid w:val="0084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21AD0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3516" w:right="3968"/>
      <w:jc w:val="center"/>
    </w:pPr>
    <w:rPr>
      <w:rFonts w:ascii="Trebuchet MS" w:eastAsia="Trebuchet MS" w:hAnsi="Trebuchet MS" w:cs="Trebuchet MS"/>
      <w:sz w:val="84"/>
      <w:szCs w:val="8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526B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2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6B9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452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6B9"/>
    <w:rPr>
      <w:rFonts w:ascii="Cambria" w:eastAsia="Cambria" w:hAnsi="Cambria" w:cs="Cambria"/>
    </w:rPr>
  </w:style>
  <w:style w:type="character" w:styleId="Mencinsinresolver">
    <w:name w:val="Unresolved Mention"/>
    <w:basedOn w:val="Fuentedeprrafopredeter"/>
    <w:uiPriority w:val="99"/>
    <w:semiHidden/>
    <w:unhideWhenUsed/>
    <w:rsid w:val="0045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josemarcellinoli.com/2008/pdf/2008_cartas_143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edgfu.net/jm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143</dc:title>
  <dc:creator>Sat Arhat José Marcelli Noli</dc:creator>
  <cp:keywords>, docId:1038E0977318C101DD5ACBB83A62C88B</cp:keywords>
  <cp:lastModifiedBy>Marcos Paulo Gonzalez Otero</cp:lastModifiedBy>
  <cp:revision>3</cp:revision>
  <dcterms:created xsi:type="dcterms:W3CDTF">2022-07-02T02:07:00Z</dcterms:created>
  <dcterms:modified xsi:type="dcterms:W3CDTF">2022-07-08T09:48:00Z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